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郑铮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临床心理学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仿宋_GB2312" w:hAnsi="Calibri" w:eastAsia="仿宋_GB2312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郑铮，副教授，医学博士，</w:t>
            </w:r>
            <w:r>
              <w:rPr>
                <w:rFonts w:ascii="仿宋_GB2312" w:hAnsi="Calibri" w:eastAsia="仿宋_GB2312"/>
                <w:sz w:val="24"/>
                <w:szCs w:val="24"/>
              </w:rPr>
              <w:t>中国心理学会临床与咨询心理学注册系统注册心理师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，</w:t>
            </w:r>
            <w:r>
              <w:rPr>
                <w:rFonts w:ascii="仿宋_GB2312" w:hAnsi="Calibri" w:eastAsia="仿宋_GB2312"/>
                <w:sz w:val="24"/>
                <w:szCs w:val="24"/>
              </w:rPr>
              <w:t>国家二级心理咨询师，执业医师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，主要致力于心理障碍的心理病理机制及心理干预等研究。近年来，在SCI、SSCI及</w:t>
            </w:r>
            <w:r>
              <w:rPr>
                <w:rFonts w:ascii="仿宋_GB2312" w:hAnsi="Calibri" w:eastAsia="仿宋_GB2312"/>
                <w:sz w:val="24"/>
                <w:szCs w:val="24"/>
              </w:rPr>
              <w:t>国内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中文</w:t>
            </w:r>
            <w:r>
              <w:rPr>
                <w:rFonts w:ascii="仿宋_GB2312" w:hAnsi="Calibri" w:eastAsia="仿宋_GB2312"/>
                <w:sz w:val="24"/>
                <w:szCs w:val="24"/>
              </w:rPr>
              <w:t>核心期刊发表学术论文30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余</w:t>
            </w:r>
            <w:r>
              <w:rPr>
                <w:rFonts w:ascii="仿宋_GB2312" w:hAnsi="Calibri" w:eastAsia="仿宋_GB2312"/>
                <w:sz w:val="24"/>
                <w:szCs w:val="24"/>
              </w:rPr>
              <w:t>篇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；主持和</w:t>
            </w:r>
            <w:r>
              <w:rPr>
                <w:rFonts w:ascii="仿宋_GB2312" w:hAnsi="Calibri" w:eastAsia="仿宋_GB2312"/>
                <w:sz w:val="24"/>
                <w:szCs w:val="24"/>
              </w:rPr>
              <w:t>参与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教育部、</w:t>
            </w:r>
            <w:r>
              <w:rPr>
                <w:rFonts w:ascii="仿宋_GB2312" w:hAnsi="Calibri" w:eastAsia="仿宋_GB2312"/>
                <w:sz w:val="24"/>
                <w:szCs w:val="24"/>
              </w:rPr>
              <w:t>省厅级研究课题10余项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；参编教材1</w:t>
            </w:r>
            <w:r>
              <w:rPr>
                <w:rFonts w:ascii="仿宋_GB2312" w:hAnsi="Calibri" w:eastAsia="仿宋_GB2312"/>
                <w:sz w:val="24"/>
                <w:szCs w:val="24"/>
              </w:rPr>
              <w:t>3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部，参译心理学著作</w:t>
            </w:r>
            <w:r>
              <w:rPr>
                <w:rFonts w:ascii="仿宋_GB2312" w:hAnsi="Calibri" w:eastAsia="仿宋_GB2312"/>
                <w:sz w:val="24"/>
                <w:szCs w:val="24"/>
              </w:rPr>
              <w:t>7</w:t>
            </w:r>
            <w:r>
              <w:rPr>
                <w:rFonts w:hint="eastAsia" w:ascii="仿宋_GB2312" w:hAnsi="Calibri" w:eastAsia="仿宋_GB2312"/>
                <w:sz w:val="24"/>
                <w:szCs w:val="24"/>
              </w:rPr>
              <w:t>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临床医学专业；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有较强的主动学习和时间管理能力；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有一定的英文文献检索和阅读能力；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有较好的人际沟通和应变能力；</w:t>
            </w:r>
          </w:p>
          <w:p>
            <w:pPr>
              <w:pStyle w:val="4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对临床工作中的心理学问题有浓厚兴趣。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10C94"/>
    <w:multiLevelType w:val="multilevel"/>
    <w:tmpl w:val="0E810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auto"/>
        <w:sz w:val="1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1203FF"/>
    <w:rsid w:val="00356040"/>
    <w:rsid w:val="004214CD"/>
    <w:rsid w:val="00533FA4"/>
    <w:rsid w:val="00D514D1"/>
    <w:rsid w:val="00D85B04"/>
    <w:rsid w:val="047E09FE"/>
    <w:rsid w:val="04AE628C"/>
    <w:rsid w:val="19B732AD"/>
    <w:rsid w:val="4B917DB3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Theme="minorHAnsi" w:hAnsiTheme="minorHAns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335</Characters>
  <Lines>2</Lines>
  <Paragraphs>1</Paragraphs>
  <TotalTime>13</TotalTime>
  <ScaleCrop>false</ScaleCrop>
  <LinksUpToDate>false</LinksUpToDate>
  <CharactersWithSpaces>392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